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Toruń, dnia 16 lipca 2015 r.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rPr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Zawiadomienie o wyniku postępowania</w:t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b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Dotyczy: postępowania o udzielenie zamówienia publicznego prowadzonego w trybie przetargu nieograniczonego na „Ubezpieczenie majątku i innych interesów Przedsiębiorstwa Gospodarki Komunalnej i Wodociągowej sp. z o.o. w Aleksandrowie Kujawskim</w:t>
      </w:r>
      <w:r>
        <w:rPr>
          <w:rFonts w:ascii="Cambria" w:hAnsi="Cambria" w:asciiTheme="majorHAnsi" w:hAnsiTheme="majorHAnsi"/>
          <w:b/>
          <w:bCs/>
        </w:rPr>
        <w:t>”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2"/>
          <w:b/>
          <w:sz w:val="22"/>
          <w:b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b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 xml:space="preserve">Działając na podstawie art. 92 ust. 1 ustawy z dnia 29 stycznia 2004 roku Prawo zamówień publicznych (Dz. U. z 2013 r., poz. 907 z późn. zm.) zawiadamiam o wyniku postępowania o udzielenie zamówienia publicznego na </w:t>
      </w:r>
      <w:r>
        <w:rPr>
          <w:rFonts w:ascii="Cambria" w:hAnsi="Cambria" w:asciiTheme="majorHAnsi" w:hAnsiTheme="majorHAnsi"/>
        </w:rPr>
        <w:t>„Ubezpieczenie majątku i innych interesów Przedsiębiorstwa Gospodarki Komunalnej i Wodociągowej sp. z o.o. w Aleksandrowie Kujawskim</w:t>
      </w:r>
      <w:r>
        <w:rPr>
          <w:rFonts w:ascii="Cambria" w:hAnsi="Cambria" w:asciiTheme="majorHAnsi" w:hAnsiTheme="majorHAnsi"/>
          <w:bCs/>
        </w:rPr>
        <w:t>”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eastAsia="Times New Roman" w:cs="Calibri" w:ascii="Cambria" w:hAnsi="Cambria" w:asciiTheme="majorHAnsi" w:cstheme="minorHAnsi" w:hAnsiTheme="majorHAnsi"/>
          <w:b/>
          <w:u w:val="single"/>
          <w:lang w:eastAsia="pl-PL"/>
        </w:rPr>
        <w:t>Część I postępowania „</w:t>
      </w:r>
      <w:r>
        <w:rPr>
          <w:rFonts w:eastAsia="Times New Roman" w:cs="Calibri" w:ascii="Cambria" w:hAnsi="Cambria" w:asciiTheme="majorHAnsi" w:cstheme="minorHAnsi" w:hAnsiTheme="majorHAnsi"/>
          <w:b/>
          <w:bCs/>
          <w:u w:val="single"/>
          <w:lang w:eastAsia="pl-PL"/>
        </w:rPr>
        <w:t>Ubezpieczenie mienia i interesów Przedsiębiorstwa Gospodarki Komunalnej i Wodociągowej sp. z o.o.</w:t>
      </w:r>
      <w:r>
        <w:rPr>
          <w:rFonts w:ascii="Cambria" w:hAnsi="Cambria" w:asciiTheme="majorHAnsi" w:hAnsiTheme="majorHAnsi"/>
          <w:b/>
          <w:bCs/>
          <w:u w:val="single"/>
        </w:rPr>
        <w:t>”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lang w:eastAsia="pl-PL"/>
        </w:rPr>
      </w:r>
      <w:r/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36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Za najkorzystniejszą uznana została </w:t>
      </w:r>
      <w:r>
        <w:rPr>
          <w:rFonts w:ascii="Cambria" w:hAnsi="Cambria" w:asciiTheme="majorHAnsi" w:hAnsiTheme="majorHAnsi"/>
          <w:b/>
        </w:rPr>
        <w:t>oferta nr 1</w:t>
      </w:r>
      <w:r>
        <w:rPr>
          <w:rFonts w:ascii="Cambria" w:hAnsi="Cambria" w:asciiTheme="majorHAnsi" w:hAnsiTheme="majorHAnsi"/>
        </w:rPr>
        <w:t>, złożona przez</w:t>
      </w:r>
      <w:r>
        <w:rPr>
          <w:rFonts w:ascii="Cambria" w:hAnsi="Cambria" w:asciiTheme="majorHAnsi" w:hAnsiTheme="majorHAnsi"/>
          <w:b/>
        </w:rPr>
        <w:t xml:space="preserve"> Towarzystwo Ubezpieczeń </w:t>
        <w:br/>
        <w:t>Wzajemnych „TUW”, ul. H. Raabego 13, 02-793 Warszawa Biuro Regionalne w Toruniu ul. Rejtana 2-4, 87-100 Toruń.</w:t>
      </w:r>
      <w:r>
        <w:rPr>
          <w:rFonts w:ascii="Cambria" w:hAnsi="Cambria" w:asciiTheme="majorHAnsi" w:hAnsiTheme="majorHAnsi"/>
        </w:rPr>
        <w:t xml:space="preserve"> 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Uzasadniając dokonany wybór podaję, że oferta ta uzyskała najwyższą łączną ilość punktów z obu kryteriów oceny (cena 80%, klauzule dodatkowe i inne postanowienia szczególne fakultatywne 20%) spośród wszystkich ofert ważnych i ocenianych - razem</w:t>
      </w:r>
      <w:r>
        <w:rPr>
          <w:rFonts w:ascii="Cambria" w:hAnsi="Cambria" w:asciiTheme="majorHAnsi" w:hAnsiTheme="majorHAnsi"/>
          <w:b/>
        </w:rPr>
        <w:t xml:space="preserve"> 95,00 pkt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Według kryterium „cena” (waga 80%)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 xml:space="preserve">Towarzystwo Ubezpieczeń </w:t>
        <w:br/>
        <w:t xml:space="preserve">Wzajemnych „TUW” </w:t>
      </w:r>
      <w:r>
        <w:rPr>
          <w:rFonts w:ascii="Cambria" w:hAnsi="Cambria" w:asciiTheme="majorHAnsi" w:hAnsiTheme="majorHAnsi"/>
        </w:rPr>
        <w:t xml:space="preserve">otrzymało następującą ilość punktów: </w:t>
      </w:r>
      <w:r>
        <w:rPr>
          <w:rFonts w:ascii="Cambria" w:hAnsi="Cambria" w:asciiTheme="majorHAnsi" w:hAnsiTheme="majorHAnsi"/>
          <w:b/>
        </w:rPr>
        <w:t>80,00 pkt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Wg kryterium „warunki fakultatywne” (waga 20%)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 xml:space="preserve">Towarzystwo Ubezpieczeń </w:t>
        <w:br/>
        <w:t xml:space="preserve">Wzajemnych „TUW” </w:t>
      </w:r>
      <w:r>
        <w:rPr>
          <w:rFonts w:ascii="Cambria" w:hAnsi="Cambria" w:asciiTheme="majorHAnsi" w:hAnsiTheme="majorHAnsi"/>
        </w:rPr>
        <w:t>otrzymało następującą ilość punktów</w:t>
      </w:r>
      <w:r>
        <w:rPr>
          <w:rFonts w:ascii="Cambria" w:hAnsi="Cambria" w:asciiTheme="majorHAnsi" w:hAnsiTheme="majorHAnsi"/>
          <w:b/>
        </w:rPr>
        <w:t>: 15,00 pkt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W terminie zgodnym ze specyfikacją istotnych warunków zamówienia, poza ofertą opisaną </w:t>
        <w:br/>
        <w:t>w punkcie „1” powyżej, oferty ważne, nie podlegające odrzuceniu, złożyli także następujący Wykonawcy:</w:t>
      </w:r>
      <w:r/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2: Powszechny Zakład Ubezpieczeń S.A. Aleja Jana Pawła II 24, Warszawa, Region Północny Oddział Sprzedaży Korporacyjnej w Toruniu ul. Kościuszki 71, 87-100 Toruń</w:t>
      </w:r>
      <w:r/>
    </w:p>
    <w:p>
      <w:pPr>
        <w:pStyle w:val="ListParagraph"/>
        <w:widowControl w:val="false"/>
        <w:tabs>
          <w:tab w:val="left" w:pos="284" w:leader="none"/>
        </w:tabs>
        <w:overflowPunct w:val="false"/>
        <w:spacing w:lineRule="auto" w:line="240" w:before="0" w:after="0"/>
        <w:ind w:left="284" w:hanging="0"/>
        <w:contextualSpacing/>
        <w:jc w:val="both"/>
        <w:textAlignment w:val="baseline"/>
        <w:rPr>
          <w:sz w:val="22"/>
          <w:sz w:val="22"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Według kryterium „cena” (waga 80%)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5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2: Powszechny Zakład Ubezpieczeń S.A. : 74,74 pkt.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Wg kryterium „klauzule dodatkowe i inne postanowienia szczególne fakultatywne” (waga 20%)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6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2: Powszechny Zakład Ubezpieczeń S.A.: 5,20 pkt;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Łącznie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7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2: Powszechny Zakład Ubezpieczeń S.A.: 79,94 pkt;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Zgodnie z przyjętymi kryteriami oceny za najkorzystniejszą uznaje się ofertę, która uzyska największą bezwzględną ilość punktów łącznie.</w:t>
      </w:r>
      <w:r>
        <w:rPr>
          <w:rFonts w:ascii="Cambria" w:hAnsi="Cambria" w:asciiTheme="majorHAnsi" w:hAnsiTheme="majorHAnsi"/>
          <w:b/>
        </w:rPr>
        <w:t xml:space="preserve"> </w:t>
      </w:r>
      <w:r>
        <w:rPr>
          <w:rFonts w:ascii="Cambria" w:hAnsi="Cambria" w:asciiTheme="majorHAnsi" w:hAnsiTheme="majorHAnsi"/>
          <w:b/>
          <w:u w:val="single"/>
        </w:rPr>
        <w:t>W związku z powyższym wybrana została oferta złożona przez Towarzystwo Ubezpieczeń Wzajemnych „TUW” ul. H. Raabego 13, 02-793 Warszawa Biuro Regionalne w Toruniu ul. Rejtana 2-4, 87-100 Toruń.</w:t>
      </w:r>
      <w:r/>
    </w:p>
    <w:p>
      <w:pPr>
        <w:pStyle w:val="Normal"/>
        <w:widowControl w:val="false"/>
        <w:overflowPunct w:val="false"/>
        <w:spacing w:lineRule="auto" w:line="240" w:before="0" w:after="0"/>
        <w:jc w:val="both"/>
        <w:textAlignment w:val="baseline"/>
        <w:rPr>
          <w:sz w:val="22"/>
          <w:u w:val="single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u w:val="single"/>
          <w:lang w:eastAsia="pl-PL"/>
        </w:rPr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Żadna oferta nie została odrzucona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Żaden z Wykonawców nie został wykluczony z postępowania.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 xml:space="preserve">Umowa w sprawie zamówienia publicznego zostanie zawarta w dniu </w:t>
      </w:r>
      <w:r>
        <w:rPr>
          <w:rFonts w:eastAsia="Times New Roman" w:cs="Calibri" w:ascii="Cambria" w:hAnsi="Cambria" w:asciiTheme="majorHAnsi" w:cstheme="minorHAnsi" w:hAnsiTheme="majorHAnsi"/>
          <w:b/>
          <w:lang w:eastAsia="pl-PL"/>
        </w:rPr>
        <w:t>20 lipca 2015 r</w:t>
      </w:r>
      <w:r>
        <w:rPr>
          <w:rFonts w:eastAsia="Times New Roman" w:cs="Calibri" w:ascii="Cambria" w:hAnsi="Cambria" w:asciiTheme="majorHAnsi" w:cstheme="minorHAnsi" w:hAnsiTheme="majorHAnsi"/>
          <w:lang w:eastAsia="pl-PL"/>
        </w:rPr>
        <w:t>., chyba że zajdą okoliczności przewidziane ustawą Prawo zamówień publicznych uniemożliwiające jej zawarcie w tym terminie.</w:t>
      </w:r>
      <w:r/>
    </w:p>
    <w:p>
      <w:pPr>
        <w:pStyle w:val="Normal"/>
        <w:widowControl w:val="false"/>
        <w:overflowPunct w:val="false"/>
        <w:spacing w:lineRule="auto" w:line="240" w:before="0" w:after="0"/>
        <w:ind w:left="708" w:hanging="0"/>
        <w:textAlignment w:val="baseline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Zgodnie z art. 94 ust. 2 pkt. 3 i 3a ustawy Prawo zamówień publicznych umowa w sprawie zamówienia publicznego może być zawarta przed upływem 5 dni od dnia przesłania zawiadomienia o wyborze najkorzystniejszej oferty faksem lub drogą elektroniczną.</w:t>
      </w:r>
      <w:r/>
    </w:p>
    <w:p>
      <w:pPr>
        <w:pStyle w:val="Normal"/>
        <w:spacing w:lineRule="auto" w:line="240" w:before="0" w:after="0"/>
        <w:ind w:left="426" w:hanging="0"/>
        <w:jc w:val="both"/>
        <w:rPr>
          <w:sz w:val="22"/>
          <w:b/>
          <w:sz w:val="22"/>
          <w:b/>
          <w:szCs w:val="22"/>
          <w:rFonts w:ascii="Cambria" w:hAnsi="Cambria" w:eastAsia="Calibri" w:cs="" w:asciiTheme="majorHAnsi" w:hAnsiTheme="majorHAnsi"/>
          <w:color w:val="00000A"/>
          <w:lang w:val="en-US" w:eastAsia="en-US" w:bidi="ar-SA"/>
        </w:rPr>
      </w:pPr>
      <w:r>
        <w:rPr>
          <w:rFonts w:asciiTheme="majorHAnsi" w:hAnsiTheme="majorHAnsi" w:ascii="Cambria" w:hAnsi="Cambria"/>
          <w:b/>
          <w:lang w:val="en-US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bCs/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b/>
          <w:u w:val="single"/>
          <w:lang w:eastAsia="pl-PL"/>
        </w:rPr>
        <w:t>Część II postępowania „Ubezpieczenie pojazdów mechanicznych Przedsiębiorstwa Gospodarki Komunalnej i Wodociągowej sp. z o.o.</w:t>
      </w:r>
      <w:r>
        <w:rPr>
          <w:rFonts w:eastAsia="Times New Roman" w:cs="Calibri" w:ascii="Cambria" w:hAnsi="Cambria" w:asciiTheme="majorHAnsi" w:cstheme="minorHAnsi" w:hAnsiTheme="majorHAnsi"/>
          <w:b/>
          <w:bCs/>
          <w:u w:val="single"/>
          <w:lang w:eastAsia="pl-PL"/>
        </w:rPr>
        <w:t>”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Cambria" w:hAnsi="Cambria" w:asciiTheme="majorHAnsi" w:hAnsiTheme="majorHAnsi"/>
        </w:rPr>
      </w:pPr>
      <w:r>
        <w:rPr>
          <w:rFonts w:eastAsia="Times New Roman" w:cs="Calibri" w:ascii="Cambria" w:hAnsi="Cambria" w:asciiTheme="majorHAnsi" w:cstheme="minorHAnsi" w:hAnsiTheme="majorHAnsi"/>
          <w:b/>
          <w:lang w:eastAsia="pl-PL"/>
        </w:rPr>
        <w:t xml:space="preserve">1. </w:t>
      </w:r>
      <w:r>
        <w:rPr>
          <w:rFonts w:ascii="Cambria" w:hAnsi="Cambria" w:asciiTheme="majorHAnsi" w:hAnsiTheme="majorHAnsi"/>
        </w:rPr>
        <w:t xml:space="preserve">Za najkorzystniejszą uznana została </w:t>
      </w:r>
      <w:r>
        <w:rPr>
          <w:rFonts w:ascii="Cambria" w:hAnsi="Cambria" w:asciiTheme="majorHAnsi" w:hAnsiTheme="majorHAnsi"/>
          <w:b/>
        </w:rPr>
        <w:t>oferta nr 2</w:t>
      </w:r>
      <w:r>
        <w:rPr>
          <w:rFonts w:ascii="Cambria" w:hAnsi="Cambria" w:asciiTheme="majorHAnsi" w:hAnsiTheme="majorHAnsi"/>
        </w:rPr>
        <w:t>, złożona przez</w:t>
      </w:r>
      <w:r>
        <w:rPr>
          <w:rFonts w:ascii="Cambria" w:hAnsi="Cambria" w:asciiTheme="majorHAnsi" w:hAnsiTheme="majorHAnsi"/>
          <w:b/>
        </w:rPr>
        <w:t xml:space="preserve"> : Powszechny Zakład Ubezpieczeń S.A. Aleja Jana Pawła II 24, Warszawa, Region Północny Oddział Sprzedaży Korporacyjnej w Toruniu ul. Kościuszki 71, 87-100 Toruń.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b/>
        </w:rPr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Uzasadniając dokonany wybór podaję, że oferta ta uzyskała najwyższą łączną ilość punktów z obu kryteriów oceny (cena 90%, klauzule dodatkowe i inne postanowienia szczególne fakultatywne 10%) – </w:t>
      </w:r>
      <w:r>
        <w:rPr>
          <w:rFonts w:ascii="Cambria" w:hAnsi="Cambria" w:asciiTheme="majorHAnsi" w:hAnsiTheme="majorHAnsi"/>
          <w:b/>
        </w:rPr>
        <w:t xml:space="preserve">90,00 pkt 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i/>
          <w:i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Według kryterium „cena” (waga 90%)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>Powszechny Zakład Ubezpieczeń S.A.</w:t>
      </w:r>
      <w:r>
        <w:rPr>
          <w:rFonts w:ascii="Cambria" w:hAnsi="Cambria" w:asciiTheme="majorHAnsi" w:hAnsiTheme="majorHAnsi"/>
        </w:rPr>
        <w:t xml:space="preserve"> otrzymał następującą ilość punktów: </w:t>
      </w:r>
      <w:r>
        <w:rPr>
          <w:rFonts w:ascii="Cambria" w:hAnsi="Cambria" w:asciiTheme="majorHAnsi" w:hAnsiTheme="majorHAnsi"/>
          <w:b/>
        </w:rPr>
        <w:t>90,00 pkt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i/>
          <w:i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Wg kryterium „warunki fakultatywne” (waga 10%)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>Powszechny Zakład Ubezpieczeń S.A.</w:t>
      </w:r>
      <w:r>
        <w:rPr>
          <w:rFonts w:ascii="Cambria" w:hAnsi="Cambria" w:asciiTheme="majorHAnsi" w:hAnsiTheme="majorHAnsi"/>
        </w:rPr>
        <w:t xml:space="preserve"> otrzymał następującą ilość punktów</w:t>
      </w:r>
      <w:r>
        <w:rPr>
          <w:rFonts w:ascii="Cambria" w:hAnsi="Cambria" w:asciiTheme="majorHAnsi" w:hAnsiTheme="majorHAnsi"/>
          <w:b/>
        </w:rPr>
        <w:t>: 0,00 pkt</w:t>
      </w:r>
      <w:r/>
    </w:p>
    <w:p>
      <w:pPr>
        <w:pStyle w:val="Normal"/>
        <w:spacing w:lineRule="auto" w:line="240" w:before="0" w:after="0"/>
        <w:jc w:val="both"/>
        <w:rPr>
          <w:sz w:val="22"/>
          <w:i/>
          <w:sz w:val="22"/>
          <w:i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i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W terminie zgodnym ze specyfikacją istotnych warunków zamówienia, poza ofertą opisaną </w:t>
        <w:br/>
        <w:t>w punkcie „1” powyżej, oferty ważne, nie podlegające odrzuceniu, złożyli także następujący Wykonawcy:</w:t>
      </w:r>
      <w:r/>
    </w:p>
    <w:p>
      <w:pPr>
        <w:pStyle w:val="ListParagraph"/>
        <w:widowControl w:val="false"/>
        <w:numPr>
          <w:ilvl w:val="0"/>
          <w:numId w:val="8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 xml:space="preserve">Oferta nr 1: Towarzystwo Ubezpieczeń Wzajemnych „TUW”, ul. H. Raabego 13, 02-793 Warszawa Biuro Regionalne w Toruniu ul. Rejtana 2-4, 87-100 Toruń. </w:t>
      </w:r>
      <w:r/>
    </w:p>
    <w:p>
      <w:pPr>
        <w:pStyle w:val="ListParagraph"/>
        <w:widowControl w:val="false"/>
        <w:tabs>
          <w:tab w:val="left" w:pos="284" w:leader="none"/>
        </w:tabs>
        <w:overflowPunct w:val="false"/>
        <w:spacing w:lineRule="auto" w:line="240" w:before="0" w:after="0"/>
        <w:ind w:left="284" w:hanging="0"/>
        <w:contextualSpacing/>
        <w:jc w:val="both"/>
        <w:textAlignment w:val="baseline"/>
        <w:rPr>
          <w:sz w:val="22"/>
          <w:sz w:val="22"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Według kryterium „cena” (waga 90%)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9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1: Towarzystwo Ubezpieczeń Wzajemnych „TUW”: 71,45 pkt.</w:t>
      </w:r>
      <w:r/>
    </w:p>
    <w:p>
      <w:pPr>
        <w:pStyle w:val="Normal"/>
        <w:spacing w:lineRule="auto" w:line="240" w:before="0" w:after="0"/>
        <w:ind w:left="360" w:hanging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Wg kryterium „klauzule dodatkowe i inne postanowienia szczególne fakultatywne” (waga 10%)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10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bookmarkStart w:id="0" w:name="_GoBack"/>
      <w:bookmarkEnd w:id="0"/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3: Towarzystwo Ubezpieczeń Wzajemnych „TUW”: 4,00 pkt.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Łącznie poszczególni Wykonawcy otrzymali następującą ilość punktów:</w:t>
      </w:r>
      <w:r/>
    </w:p>
    <w:p>
      <w:pPr>
        <w:pStyle w:val="ListParagraph"/>
        <w:widowControl w:val="false"/>
        <w:numPr>
          <w:ilvl w:val="0"/>
          <w:numId w:val="10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contextualSpacing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Oferta nr 1: Towarzystwo Ubezpieczeń Wzajemnych „TUW”: 75,45 pkt.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Zgodnie z przyjętymi kryteriami oceny za najkorzystniejszą uznaje się ofertę, która uzyska największą bezwzględną ilość punktów łącznie.</w:t>
      </w:r>
      <w:r>
        <w:rPr>
          <w:rFonts w:ascii="Cambria" w:hAnsi="Cambria" w:asciiTheme="majorHAnsi" w:hAnsiTheme="majorHAnsi"/>
          <w:b/>
        </w:rPr>
        <w:t xml:space="preserve"> </w:t>
      </w:r>
      <w:r>
        <w:rPr>
          <w:rFonts w:ascii="Cambria" w:hAnsi="Cambria" w:asciiTheme="majorHAnsi" w:hAnsiTheme="majorHAnsi"/>
          <w:b/>
          <w:u w:val="single"/>
        </w:rPr>
        <w:t>W związku z powyższym wybrana została oferta złożona przez Powszechny Zakład Ubezpieczeń S.A. Aleja Jana Pawła II 24, Warszawa, Region Północny Oddział Sprzedaży Korporacyjnej w Toruniu ul. Kościuszki 71, 87-100 Toruń.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Żadna oferta nie została odrzucona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Żaden z Wykonawców nie został wykluczony z postępowania.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 xml:space="preserve">Umowa w sprawie zamówienia publicznego zostanie zawarta w dniu </w:t>
      </w:r>
      <w:r>
        <w:rPr>
          <w:rFonts w:eastAsia="Times New Roman" w:cs="Calibri" w:ascii="Cambria" w:hAnsi="Cambria" w:asciiTheme="majorHAnsi" w:cstheme="minorHAnsi" w:hAnsiTheme="majorHAnsi"/>
          <w:b/>
          <w:lang w:eastAsia="pl-PL"/>
        </w:rPr>
        <w:t>20 lipca 2015 r</w:t>
      </w:r>
      <w:r>
        <w:rPr>
          <w:rFonts w:eastAsia="Times New Roman" w:cs="Calibri" w:ascii="Cambria" w:hAnsi="Cambria" w:asciiTheme="majorHAnsi" w:cstheme="minorHAnsi" w:hAnsiTheme="majorHAnsi"/>
          <w:lang w:eastAsia="pl-PL"/>
        </w:rPr>
        <w:t>., chyba że zajdą okoliczności przewidziane ustawą Prawo zamówień publicznych uniemożliwiające jej zawarcie w tym terminie.</w:t>
      </w:r>
      <w:r/>
    </w:p>
    <w:p>
      <w:pPr>
        <w:pStyle w:val="Normal"/>
        <w:widowControl w:val="false"/>
        <w:overflowPunct w:val="false"/>
        <w:spacing w:lineRule="auto" w:line="240" w:before="0" w:after="0"/>
        <w:ind w:left="708" w:hanging="0"/>
        <w:textAlignment w:val="baseline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Zgodnie z art. 94 ust. 2 pkt. 3 i 3a ustawy Prawo zamówień publicznych umowa w sprawie zamówienia publicznego może być zawarta przed upływem 5 dni od dnia przesłania zawiadomienia o wyborze najkorzystniejszej oferty faksem lub drogą elektroniczną.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u w:val="single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u w:val="single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u w:val="single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u w:val="single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bCs/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b/>
          <w:u w:val="single"/>
          <w:lang w:eastAsia="pl-PL"/>
        </w:rPr>
        <w:t>Część III postępowania „Obowiązkowe ubezpieczenie odpowiedzialności cywilnej zarządcy nieruchomości.</w:t>
      </w:r>
      <w:r>
        <w:rPr>
          <w:rFonts w:eastAsia="Times New Roman" w:cs="Calibri" w:ascii="Cambria" w:hAnsi="Cambria" w:asciiTheme="majorHAnsi" w:cstheme="minorHAnsi" w:hAnsiTheme="majorHAnsi"/>
          <w:b/>
          <w:bCs/>
          <w:u w:val="single"/>
          <w:lang w:eastAsia="pl-PL"/>
        </w:rPr>
        <w:t>”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Cambria" w:hAnsi="Cambria" w:asciiTheme="majorHAnsi" w:hAnsiTheme="majorHAnsi"/>
        </w:rPr>
      </w:pPr>
      <w:r>
        <w:rPr>
          <w:rFonts w:eastAsia="Times New Roman" w:cs="Calibri" w:ascii="Cambria" w:hAnsi="Cambria" w:asciiTheme="majorHAnsi" w:cstheme="minorHAnsi" w:hAnsiTheme="majorHAnsi"/>
          <w:b/>
          <w:lang w:eastAsia="pl-PL"/>
        </w:rPr>
        <w:t xml:space="preserve">1. </w:t>
      </w:r>
      <w:r>
        <w:rPr>
          <w:rFonts w:ascii="Cambria" w:hAnsi="Cambria" w:asciiTheme="majorHAnsi" w:hAnsiTheme="majorHAnsi"/>
        </w:rPr>
        <w:t xml:space="preserve">Za najkorzystniejszą uznana została </w:t>
      </w:r>
      <w:r>
        <w:rPr>
          <w:rFonts w:ascii="Cambria" w:hAnsi="Cambria" w:asciiTheme="majorHAnsi" w:hAnsiTheme="majorHAnsi"/>
          <w:b/>
        </w:rPr>
        <w:t>oferta nr 2</w:t>
      </w:r>
      <w:r>
        <w:rPr>
          <w:rFonts w:ascii="Cambria" w:hAnsi="Cambria" w:asciiTheme="majorHAnsi" w:hAnsiTheme="majorHAnsi"/>
        </w:rPr>
        <w:t>, złożona przez</w:t>
      </w:r>
      <w:r>
        <w:rPr>
          <w:rFonts w:ascii="Cambria" w:hAnsi="Cambria" w:asciiTheme="majorHAnsi" w:hAnsiTheme="majorHAnsi"/>
          <w:b/>
        </w:rPr>
        <w:t xml:space="preserve"> Powszechny Zakład Ubezpieczeń S.A. Aleja Jana Pawła II 24, Warszawa, Region Północny Oddział Sprzedaży Korporacyjnej w Toruniu ul. Kościuszki 71, 87-100 Toruń.</w:t>
      </w:r>
      <w:r/>
    </w:p>
    <w:p>
      <w:pPr>
        <w:pStyle w:val="Normal"/>
        <w:spacing w:lineRule="auto" w:line="240" w:before="0" w:after="0"/>
        <w:jc w:val="both"/>
        <w:rPr>
          <w:sz w:val="22"/>
          <w:b/>
          <w:sz w:val="22"/>
          <w:b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b/>
        </w:rPr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i/>
          <w:i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Uzasadniając dokonany wybór podaję, że oferta ta uzyskała najwyższą łączną ilość punktów z obu kryteriów oceny (cena 90%, klauzule dodatkowe i inne postanowienia szczególne fakultatywne 10%) – </w:t>
      </w:r>
      <w:r>
        <w:rPr>
          <w:rFonts w:ascii="Cambria" w:hAnsi="Cambria" w:asciiTheme="majorHAnsi" w:hAnsiTheme="majorHAnsi"/>
          <w:b/>
        </w:rPr>
        <w:t>92,00 pkt – była to jedyna złożona oferta.</w:t>
      </w:r>
      <w:r>
        <w:rPr>
          <w:rFonts w:ascii="Cambria" w:hAnsi="Cambria" w:asciiTheme="majorHAnsi" w:hAnsiTheme="majorHAnsi"/>
        </w:rPr>
        <w:t xml:space="preserve"> 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i/>
          <w:i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Według kryterium „cena” (waga 90%)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 xml:space="preserve">Powszechny Zakład Ubezpieczeń S.A. </w:t>
      </w:r>
      <w:r>
        <w:rPr>
          <w:rFonts w:ascii="Cambria" w:hAnsi="Cambria" w:asciiTheme="majorHAnsi" w:hAnsiTheme="majorHAnsi"/>
        </w:rPr>
        <w:t xml:space="preserve">otrzymał następującą ilość punktów: </w:t>
      </w:r>
      <w:r>
        <w:rPr>
          <w:rFonts w:ascii="Cambria" w:hAnsi="Cambria" w:asciiTheme="majorHAnsi" w:hAnsiTheme="majorHAnsi"/>
          <w:b/>
        </w:rPr>
        <w:t>90,00 pkt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i/>
          <w:i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Wg kryterium „warunki fakultatywne” (waga 10%) Wykonawca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  <w:b/>
        </w:rPr>
        <w:t xml:space="preserve">Powszechny Zakład Ubezpieczeń S.A. </w:t>
      </w:r>
      <w:r>
        <w:rPr>
          <w:rFonts w:ascii="Cambria" w:hAnsi="Cambria" w:asciiTheme="majorHAnsi" w:hAnsiTheme="majorHAnsi"/>
        </w:rPr>
        <w:t>otrzymał następującą ilość punktów</w:t>
      </w:r>
      <w:r>
        <w:rPr>
          <w:rFonts w:ascii="Cambria" w:hAnsi="Cambria" w:asciiTheme="majorHAnsi" w:hAnsiTheme="majorHAnsi"/>
          <w:b/>
        </w:rPr>
        <w:t>: 2,00 pkt</w:t>
      </w:r>
      <w:r/>
    </w:p>
    <w:p>
      <w:pPr>
        <w:pStyle w:val="Normal"/>
        <w:spacing w:lineRule="auto" w:line="240" w:before="0" w:after="0"/>
        <w:jc w:val="both"/>
        <w:rPr>
          <w:sz w:val="22"/>
          <w:i/>
          <w:sz w:val="22"/>
          <w:i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  <w:i/>
        </w:rPr>
      </w:r>
      <w:r/>
    </w:p>
    <w:p>
      <w:pPr>
        <w:pStyle w:val="Normal"/>
        <w:spacing w:lineRule="auto" w:line="240" w:before="0" w:after="0"/>
        <w:jc w:val="both"/>
        <w:rPr>
          <w:u w:val="single"/>
          <w:b/>
          <w:b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Zgodnie z przyjętymi kryteriami oceny za najkorzystniejszą uznaje się ofertę, która uzyska największą bezwzględną ilość punktów łącznie.</w:t>
      </w:r>
      <w:r>
        <w:rPr>
          <w:rFonts w:ascii="Cambria" w:hAnsi="Cambria" w:asciiTheme="majorHAnsi" w:hAnsiTheme="majorHAnsi"/>
          <w:b/>
        </w:rPr>
        <w:t xml:space="preserve"> </w:t>
      </w:r>
      <w:r>
        <w:rPr>
          <w:rFonts w:ascii="Cambria" w:hAnsi="Cambria" w:asciiTheme="majorHAnsi" w:hAnsiTheme="majorHAnsi"/>
          <w:b/>
          <w:u w:val="single"/>
        </w:rPr>
        <w:t>W związku z powyższym wybrana została oferta złożona przez Powszechny Zakład Ubezpieczeń S.A. Aleja Jana Pawła II 24, Warszawa, Region Północny Oddział Sprzedaży Korporacyjnej w Toruniu ul. Kościuszki 71, 87-100 Toruń.</w:t>
      </w:r>
      <w:r/>
    </w:p>
    <w:p>
      <w:pPr>
        <w:pStyle w:val="Normal"/>
        <w:widowControl w:val="false"/>
        <w:overflowPunct w:val="false"/>
        <w:spacing w:lineRule="auto" w:line="240" w:before="0" w:after="0"/>
        <w:jc w:val="both"/>
        <w:textAlignment w:val="baseline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284" w:hanging="284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Żadna oferta nie została odrzucona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Żaden z Wykonawców nie został wykluczony z postępowania.</w:t>
      </w:r>
      <w:r/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overflowPunct w:val="false"/>
        <w:spacing w:lineRule="auto" w:line="240" w:before="0" w:after="0"/>
        <w:ind w:left="0" w:hanging="360"/>
        <w:jc w:val="both"/>
        <w:textAlignment w:val="baseline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 xml:space="preserve">Umowa w sprawie zamówienia publicznego zostanie zawarta w dniu </w:t>
      </w:r>
      <w:r>
        <w:rPr>
          <w:rFonts w:eastAsia="Times New Roman" w:cs="Calibri" w:ascii="Cambria" w:hAnsi="Cambria" w:asciiTheme="majorHAnsi" w:cstheme="minorHAnsi" w:hAnsiTheme="majorHAnsi"/>
          <w:b/>
          <w:lang w:eastAsia="pl-PL"/>
        </w:rPr>
        <w:t>20 lipca 2015 r</w:t>
      </w:r>
      <w:r>
        <w:rPr>
          <w:rFonts w:eastAsia="Times New Roman" w:cs="Calibri" w:ascii="Cambria" w:hAnsi="Cambria" w:asciiTheme="majorHAnsi" w:cstheme="minorHAnsi" w:hAnsiTheme="majorHAnsi"/>
          <w:lang w:eastAsia="pl-PL"/>
        </w:rPr>
        <w:t>., chyba że zajdą okoliczności przewidziane ustawą Prawo zamówień publicznych uniemożliwiające jej zawarcie w tym terminie.</w:t>
      </w:r>
      <w:r/>
    </w:p>
    <w:p>
      <w:pPr>
        <w:pStyle w:val="Normal"/>
        <w:widowControl w:val="false"/>
        <w:overflowPunct w:val="false"/>
        <w:spacing w:lineRule="auto" w:line="240" w:before="0" w:after="0"/>
        <w:ind w:left="708" w:hanging="0"/>
        <w:textAlignment w:val="baseline"/>
        <w:rPr>
          <w:sz w:val="22"/>
          <w:b/>
          <w:sz w:val="22"/>
          <w:b/>
          <w:szCs w:val="22"/>
          <w:rFonts w:ascii="Cambria" w:hAnsi="Cambria" w:eastAsia="Times New Roman" w:cs="Calibri" w:asciiTheme="majorHAnsi" w:cstheme="minorHAnsi" w:hAnsiTheme="majorHAnsi"/>
          <w:color w:val="00000A"/>
          <w:lang w:val="pl-PL" w:eastAsia="pl-PL" w:bidi="ar-SA"/>
        </w:rPr>
      </w:pPr>
      <w:r>
        <w:rPr>
          <w:rFonts w:eastAsia="Times New Roman" w:cs="Calibri" w:cstheme="minorHAnsi" w:ascii="Cambria" w:hAnsi="Cambria"/>
          <w:b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libri" w:asciiTheme="majorHAnsi" w:cstheme="minorHAnsi" w:hAnsiTheme="majorHAnsi"/>
          <w:lang w:eastAsia="pl-PL"/>
        </w:rPr>
      </w:pPr>
      <w:r>
        <w:rPr>
          <w:rFonts w:eastAsia="Times New Roman" w:cs="Calibri" w:ascii="Cambria" w:hAnsi="Cambria" w:asciiTheme="majorHAnsi" w:cstheme="minorHAnsi" w:hAnsiTheme="majorHAnsi"/>
          <w:lang w:eastAsia="pl-PL"/>
        </w:rPr>
        <w:t>Zgodnie z art. 94 ust. 2 pkt. 3 i 3a ustawy Prawo zamówień publicznych umowa w sprawie zamówienia publicznego może być zawarta przed upływem 5 dni od dnia przesłania zawiadomienia o wyborze najkorzystniejszej oferty faksem lub drogą elektroniczną.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Calibri" w:asciiTheme="majorHAnsi" w:cstheme="minorHAnsi" w:hAnsiTheme="majorHAnsi"/>
          <w:color w:val="00000A"/>
          <w:lang w:val="pl-PL" w:eastAsia="en-US" w:bidi="ar-SA"/>
        </w:rPr>
      </w:pPr>
      <w:r>
        <w:rPr>
          <w:rFonts w:cs="Calibri" w:cstheme="minorHAnsi" w:ascii="Cambria" w:hAnsi="Cambri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mbria" w:hAnsi="Cambria" w:eastAsia="Calibri" w:cs="" w:asciiTheme="majorHAnsi" w:hAnsiTheme="majorHAnsi"/>
          <w:color w:val="00000A"/>
          <w:lang w:val="pl-PL" w:eastAsia="en-US" w:bidi="ar-SA"/>
        </w:rPr>
      </w:pPr>
      <w:r>
        <w:rPr>
          <w:rFonts w:asciiTheme="majorHAnsi" w:hAnsiTheme="majorHAnsi" w:ascii="Cambria" w:hAnsi="Cambria"/>
        </w:rPr>
      </w:r>
      <w:r/>
    </w:p>
    <w:p>
      <w:pPr>
        <w:pStyle w:val="Normal"/>
        <w:spacing w:lineRule="auto" w:line="240" w:before="0" w:after="0"/>
        <w:ind w:firstLine="5812"/>
      </w:pPr>
      <w:r>
        <w:rPr>
          <w:rFonts w:ascii="Cambria" w:hAnsi="Cambria" w:asciiTheme="majorHAnsi" w:hAnsiTheme="majorHAnsi"/>
        </w:rPr>
        <w:t>Z wyrazami szacunku</w:t>
      </w:r>
      <w:r/>
    </w:p>
    <w:p>
      <w:pPr>
        <w:pStyle w:val="Normal"/>
        <w:spacing w:lineRule="auto" w:line="240" w:before="0" w:after="0"/>
        <w:ind w:firstLine="5812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ind w:firstLine="5812"/>
      </w:pPr>
      <w:r>
        <w:rPr>
          <w:rFonts w:ascii="Cambria" w:hAnsi="Cambria" w:asciiTheme="majorHAnsi" w:hAnsiTheme="majorHAnsi"/>
          <w:i/>
          <w:iCs/>
        </w:rPr>
        <w:t xml:space="preserve">Prezes Zarządu </w:t>
      </w:r>
      <w:r/>
    </w:p>
    <w:p>
      <w:pPr>
        <w:pStyle w:val="Normal"/>
        <w:spacing w:lineRule="auto" w:line="240" w:before="0" w:after="0"/>
        <w:ind w:firstLine="5812"/>
      </w:pPr>
      <w:r>
        <w:rPr>
          <w:rFonts w:ascii="Cambria" w:hAnsi="Cambria" w:asciiTheme="majorHAnsi" w:hAnsiTheme="majorHAnsi"/>
          <w:i/>
          <w:iCs/>
        </w:rPr>
        <w:t>mgr Jan Wiśniewski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b47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uiPriority w:val="99"/>
    <w:semiHidden/>
    <w:unhideWhenUsed/>
    <w:rsid w:val="007d3af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7d3af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d3af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7d3af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rsid w:val="00e84829"/>
    <w:rPr/>
  </w:style>
  <w:style w:type="character" w:styleId="StopkaZnak" w:customStyle="1">
    <w:name w:val="Stopka Znak"/>
    <w:basedOn w:val="DefaultParagraphFont"/>
    <w:link w:val="Stopka"/>
    <w:uiPriority w:val="99"/>
    <w:rsid w:val="00e84829"/>
    <w:rPr/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7d3a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7d3af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d3a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bfb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e848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848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LibreOffice/4.3.2.2$Windows_x86 LibreOffice_project/edfb5295ba211bd31ad47d0bad0118690f76407d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2015-07-16T13:25:00Z</dcterms:created>
  <dc:creator>DawidC</dc:creator>
  <dc:language>pl-PL</dc:language>
  <cp:lastPrinted>2015-03-18T14:56:00Z</cp:lastPrinted>
  <dcterms:modified xsi:type="dcterms:W3CDTF">2015-07-17T08:44:15Z</dcterms:modified>
  <cp:revision>3</cp:revision>
</cp:coreProperties>
</file>